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BD" w:rsidRDefault="00593AB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93ABD" w:rsidRDefault="00593ABD">
      <w:pPr>
        <w:pStyle w:val="ConsPlusNormal"/>
        <w:jc w:val="both"/>
        <w:outlineLvl w:val="0"/>
      </w:pPr>
    </w:p>
    <w:p w:rsidR="00593ABD" w:rsidRDefault="00593ABD">
      <w:pPr>
        <w:pStyle w:val="ConsPlusNormal"/>
        <w:jc w:val="right"/>
      </w:pPr>
      <w:r>
        <w:t>Одобрен</w:t>
      </w:r>
    </w:p>
    <w:p w:rsidR="00593ABD" w:rsidRDefault="00593ABD">
      <w:pPr>
        <w:pStyle w:val="ConsPlusNormal"/>
        <w:jc w:val="right"/>
      </w:pPr>
      <w:bookmarkStart w:id="0" w:name="_GoBack"/>
      <w:bookmarkEnd w:id="0"/>
      <w:r>
        <w:t>решением президиума Совета</w:t>
      </w:r>
    </w:p>
    <w:p w:rsidR="00593ABD" w:rsidRDefault="00593ABD">
      <w:pPr>
        <w:pStyle w:val="ConsPlusNormal"/>
        <w:jc w:val="right"/>
      </w:pPr>
      <w:r>
        <w:t>при Президенте Российской Федерации</w:t>
      </w:r>
    </w:p>
    <w:p w:rsidR="00593ABD" w:rsidRDefault="00593ABD">
      <w:pPr>
        <w:pStyle w:val="ConsPlusNormal"/>
        <w:jc w:val="right"/>
      </w:pPr>
      <w:r>
        <w:t>по противодействию коррупции</w:t>
      </w:r>
    </w:p>
    <w:p w:rsidR="00593ABD" w:rsidRDefault="00593ABD">
      <w:pPr>
        <w:pStyle w:val="ConsPlusNormal"/>
        <w:jc w:val="right"/>
      </w:pPr>
      <w:r>
        <w:t>от 23 декабря 2010 г. (протокол N 21)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Title"/>
        <w:jc w:val="center"/>
      </w:pPr>
      <w:r>
        <w:t>ТИПОВОЙ КОДЕКС</w:t>
      </w:r>
    </w:p>
    <w:p w:rsidR="00593ABD" w:rsidRDefault="00593ABD">
      <w:pPr>
        <w:pStyle w:val="ConsPlusTitle"/>
        <w:jc w:val="center"/>
      </w:pPr>
      <w:r>
        <w:t>ЭТИКИ И СЛУЖЕБНОГО ПОВЕДЕНИЯ ГОСУДАРСТВЕННЫХ СЛУЖАЩИХ</w:t>
      </w:r>
    </w:p>
    <w:p w:rsidR="00593ABD" w:rsidRDefault="00593ABD">
      <w:pPr>
        <w:pStyle w:val="ConsPlusTitle"/>
        <w:jc w:val="center"/>
      </w:pPr>
      <w:r>
        <w:t>РОССИЙСКОЙ ФЕДЕРАЦИИ И МУНИЦИПАЛЬНЫХ СЛУЖАЩИХ</w:t>
      </w:r>
    </w:p>
    <w:p w:rsidR="00593ABD" w:rsidRDefault="00593ABD">
      <w:pPr>
        <w:pStyle w:val="ConsPlusNormal"/>
        <w:jc w:val="center"/>
      </w:pPr>
    </w:p>
    <w:p w:rsidR="00593ABD" w:rsidRDefault="00593ABD">
      <w:pPr>
        <w:pStyle w:val="ConsPlusNormal"/>
        <w:jc w:val="center"/>
        <w:outlineLvl w:val="0"/>
      </w:pPr>
      <w:r>
        <w:t>I. Общие положения</w:t>
      </w:r>
    </w:p>
    <w:p w:rsidR="00593ABD" w:rsidRDefault="00593ABD">
      <w:pPr>
        <w:pStyle w:val="ConsPlusNormal"/>
        <w:jc w:val="center"/>
      </w:pPr>
    </w:p>
    <w:p w:rsidR="00593ABD" w:rsidRDefault="00593AB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6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>
        <w:t xml:space="preserve"> </w:t>
      </w:r>
      <w:proofErr w:type="gramStart"/>
      <w: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8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</w:t>
      </w:r>
      <w:proofErr w:type="gramEnd"/>
      <w:r>
        <w:t xml:space="preserve">", </w:t>
      </w:r>
      <w:proofErr w:type="gramStart"/>
      <w:r>
        <w:t xml:space="preserve">от 2 марта 2007 г. </w:t>
      </w:r>
      <w:hyperlink r:id="rId9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>
        <w:t xml:space="preserve"> нравственных </w:t>
      </w:r>
      <w:proofErr w:type="gramStart"/>
      <w:r>
        <w:t>принципах</w:t>
      </w:r>
      <w:proofErr w:type="gramEnd"/>
      <w:r>
        <w:t xml:space="preserve"> и нормах российского общества и государства.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 xml:space="preserve"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</w:t>
      </w:r>
      <w:r>
        <w:lastRenderedPageBreak/>
        <w:t>поведения в отношениях с ним в соответствии с положениями Типового кодекса.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593ABD" w:rsidRDefault="00593ABD">
      <w:pPr>
        <w:pStyle w:val="ConsPlusNormal"/>
        <w:jc w:val="center"/>
      </w:pPr>
      <w:r>
        <w:t>государственных (муниципальных) служащих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593ABD" w:rsidRDefault="00593ABD">
      <w:pPr>
        <w:pStyle w:val="ConsPlusNormal"/>
        <w:spacing w:before="240"/>
        <w:ind w:firstLine="540"/>
        <w:jc w:val="both"/>
      </w:pPr>
      <w:proofErr w:type="gramStart"/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proofErr w:type="gramEnd"/>
    </w:p>
    <w:p w:rsidR="00593ABD" w:rsidRDefault="00593ABD">
      <w:pPr>
        <w:pStyle w:val="ConsPlusNormal"/>
        <w:spacing w:before="24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</w:t>
      </w:r>
      <w:r>
        <w:lastRenderedPageBreak/>
        <w:t>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</w:t>
      </w:r>
      <w:r>
        <w:lastRenderedPageBreak/>
        <w:t>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 xml:space="preserve">Государственные (муниципальные) служащие обязаны соблюдать </w:t>
      </w:r>
      <w:hyperlink r:id="rId1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593ABD" w:rsidRDefault="00593ABD">
      <w:pPr>
        <w:pStyle w:val="ConsPlusNormal"/>
        <w:spacing w:before="240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</w:t>
      </w:r>
      <w:r>
        <w:lastRenderedPageBreak/>
        <w:t>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593ABD" w:rsidRDefault="00593ABD">
      <w:pPr>
        <w:pStyle w:val="ConsPlusNormal"/>
        <w:spacing w:before="240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б) принимать меры по предупреждению коррупции;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jc w:val="center"/>
        <w:outlineLvl w:val="0"/>
      </w:pPr>
      <w:r>
        <w:t xml:space="preserve">III. </w:t>
      </w:r>
      <w:proofErr w:type="gramStart"/>
      <w:r>
        <w:t>Рекомендательные этические правила служебного</w:t>
      </w:r>
      <w:proofErr w:type="gramEnd"/>
    </w:p>
    <w:p w:rsidR="00593ABD" w:rsidRDefault="00593ABD">
      <w:pPr>
        <w:pStyle w:val="ConsPlusNormal"/>
        <w:jc w:val="center"/>
      </w:pPr>
      <w:r>
        <w:t>поведения государственных (муниципальных) служащих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ind w:firstLine="540"/>
        <w:jc w:val="both"/>
      </w:pPr>
      <w: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</w:t>
      </w:r>
      <w:r>
        <w:lastRenderedPageBreak/>
        <w:t>достоинства, своего доброго имени.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 xml:space="preserve">26. В служебном поведении государственный (муниципальный) служащий воздерживается </w:t>
      </w:r>
      <w:proofErr w:type="gramStart"/>
      <w:r>
        <w:t>от</w:t>
      </w:r>
      <w:proofErr w:type="gramEnd"/>
      <w:r>
        <w:t>: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jc w:val="center"/>
        <w:outlineLvl w:val="0"/>
      </w:pPr>
      <w:r>
        <w:t>IV. Ответственность за нарушение положений Типового кодекса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593ABD" w:rsidRDefault="00593ABD">
      <w:pPr>
        <w:pStyle w:val="ConsPlusNormal"/>
        <w:spacing w:before="240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ind w:firstLine="540"/>
        <w:jc w:val="both"/>
      </w:pPr>
    </w:p>
    <w:p w:rsidR="00593ABD" w:rsidRDefault="00593A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728" w:rsidRDefault="00593ABD"/>
    <w:sectPr w:rsidR="00C27728" w:rsidSect="0035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D"/>
    <w:rsid w:val="00593ABD"/>
    <w:rsid w:val="007A7441"/>
    <w:rsid w:val="00AA7666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AB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93AB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593A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AB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93AB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593A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62FC02E7BC7E624276BBFD2A5424FA9E0D4D070EF68878B77CF024BA773A783E3B228732DBEBEA1D480D8C6B59D1AD9A02E6727B36C70lCFEH" TargetMode="External"/><Relationship Id="rId13" Type="http://schemas.openxmlformats.org/officeDocument/2006/relationships/hyperlink" Target="consultantplus://offline/ref=46462FC02E7BC7E624276BBFD2A5424FA9E0D5DF76E968878B77CF024BA773A791E3EA24712CA0B9ADC1D68980lE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462FC02E7BC7E624276BBFD2A5424FA9E1D7DC76E768878B77CF024BA773A783E3B22C7B26EAE8E08AD98B83FE9011C6BC2E6Cl3FAH" TargetMode="External"/><Relationship Id="rId12" Type="http://schemas.openxmlformats.org/officeDocument/2006/relationships/hyperlink" Target="consultantplus://offline/ref=46462FC02E7BC7E624276BBFD2A5424FAEE0DCDF70EA68878B77CF024BA773A783E3B228732DBEB9ADD480D8C6B59D1AD9A02E6727B36C70lCF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62FC02E7BC7E624276BBFD2A5424FAFEDD2DD7EB93F85DA22C10743F729B795AABD286D2DB7A7A6DFD6l8FAH" TargetMode="External"/><Relationship Id="rId11" Type="http://schemas.openxmlformats.org/officeDocument/2006/relationships/hyperlink" Target="consultantplus://offline/ref=46462FC02E7BC7E624276BBFD2A5424FAFEDD2DD7EB93F85DA22C10743F729B795AABD286D2DB7A7A6DFD6l8FA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462FC02E7BC7E624276BBFD2A5424FAEECD6DF75ED68878B77CF024BA773A783E3B228732DBEBCA4D480D8C6B59D1AD9A02E6727B36C70lCF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462FC02E7BC7E624276BBFD2A5424FA9E0D4DF72E768878B77CF024BA773A791E3EA24712CA0B9ADC1D68980lEF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Анастасия Дырова</cp:lastModifiedBy>
  <cp:revision>1</cp:revision>
  <dcterms:created xsi:type="dcterms:W3CDTF">2023-09-21T07:05:00Z</dcterms:created>
  <dcterms:modified xsi:type="dcterms:W3CDTF">2023-09-21T07:07:00Z</dcterms:modified>
</cp:coreProperties>
</file>